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9459" w14:textId="77777777" w:rsidR="00A0062E" w:rsidRDefault="00A0062E" w:rsidP="00523C41">
      <w:pPr>
        <w:autoSpaceDE w:val="0"/>
        <w:autoSpaceDN w:val="0"/>
        <w:adjustRightInd w:val="0"/>
        <w:spacing w:after="0" w:line="276" w:lineRule="auto"/>
        <w:jc w:val="both"/>
        <w:rPr>
          <w:rFonts w:ascii="CMR10" w:hAnsi="CMR10" w:cs="CMR10"/>
          <w:sz w:val="20"/>
          <w:szCs w:val="20"/>
        </w:rPr>
      </w:pPr>
      <w:r>
        <w:rPr>
          <w:rFonts w:ascii="CMR10" w:hAnsi="CMR10" w:cs="CMR10"/>
          <w:sz w:val="20"/>
          <w:szCs w:val="20"/>
        </w:rPr>
        <w:t xml:space="preserve">Studiengänge H+A und AT </w:t>
      </w:r>
      <w:r>
        <w:rPr>
          <w:rFonts w:ascii="CMSY10" w:hAnsi="CMSY10" w:cs="CMSY10"/>
          <w:sz w:val="20"/>
          <w:szCs w:val="20"/>
        </w:rPr>
        <w:t xml:space="preserve">an der </w:t>
      </w:r>
      <w:r>
        <w:rPr>
          <w:rFonts w:ascii="CMR10" w:hAnsi="CMR10" w:cs="CMR10"/>
          <w:sz w:val="20"/>
          <w:szCs w:val="20"/>
        </w:rPr>
        <w:t>Jade Hochschule</w:t>
      </w:r>
    </w:p>
    <w:p w14:paraId="003CAB6F" w14:textId="77777777" w:rsidR="00523C41" w:rsidRDefault="00523C41" w:rsidP="00523C41">
      <w:pPr>
        <w:autoSpaceDE w:val="0"/>
        <w:autoSpaceDN w:val="0"/>
        <w:adjustRightInd w:val="0"/>
        <w:spacing w:after="0" w:line="276" w:lineRule="auto"/>
        <w:jc w:val="both"/>
        <w:rPr>
          <w:rFonts w:ascii="CMR10" w:hAnsi="CMR10" w:cs="CMR10"/>
          <w:sz w:val="20"/>
          <w:szCs w:val="20"/>
        </w:rPr>
      </w:pPr>
    </w:p>
    <w:p w14:paraId="2A1FE809" w14:textId="5969B048" w:rsidR="00A0062E" w:rsidRDefault="00A0062E" w:rsidP="00523C41">
      <w:pPr>
        <w:autoSpaceDE w:val="0"/>
        <w:autoSpaceDN w:val="0"/>
        <w:adjustRightInd w:val="0"/>
        <w:spacing w:after="0" w:line="276" w:lineRule="auto"/>
        <w:jc w:val="both"/>
        <w:rPr>
          <w:rFonts w:ascii="CMR10" w:hAnsi="CMR10" w:cs="CMR10"/>
          <w:sz w:val="20"/>
          <w:szCs w:val="20"/>
        </w:rPr>
      </w:pPr>
      <w:r>
        <w:rPr>
          <w:rFonts w:ascii="CMR10" w:hAnsi="CMR10" w:cs="CMR10"/>
          <w:sz w:val="20"/>
          <w:szCs w:val="20"/>
        </w:rPr>
        <w:t>Versuch:</w:t>
      </w:r>
      <w:r w:rsidR="00523C41">
        <w:rPr>
          <w:rFonts w:ascii="CMR10" w:hAnsi="CMR10" w:cs="CMR10"/>
          <w:sz w:val="20"/>
          <w:szCs w:val="20"/>
        </w:rPr>
        <w:t>_________________</w:t>
      </w:r>
    </w:p>
    <w:p w14:paraId="2515629C" w14:textId="469C963E" w:rsidR="00A0062E" w:rsidRDefault="00A0062E" w:rsidP="00523C41">
      <w:pPr>
        <w:autoSpaceDE w:val="0"/>
        <w:autoSpaceDN w:val="0"/>
        <w:adjustRightInd w:val="0"/>
        <w:spacing w:after="0" w:line="276" w:lineRule="auto"/>
        <w:jc w:val="both"/>
        <w:rPr>
          <w:rFonts w:ascii="CMR10" w:hAnsi="CMR10" w:cs="CMR10"/>
          <w:sz w:val="20"/>
          <w:szCs w:val="20"/>
        </w:rPr>
      </w:pPr>
      <w:r>
        <w:rPr>
          <w:rFonts w:ascii="CMR10" w:hAnsi="CMR10" w:cs="CMR10"/>
          <w:sz w:val="20"/>
          <w:szCs w:val="20"/>
        </w:rPr>
        <w:t>Gruppe:</w:t>
      </w:r>
      <w:r w:rsidR="00523C41">
        <w:rPr>
          <w:rFonts w:ascii="CMR10" w:hAnsi="CMR10" w:cs="CMR10"/>
          <w:sz w:val="20"/>
          <w:szCs w:val="20"/>
        </w:rPr>
        <w:t>__________________</w:t>
      </w:r>
    </w:p>
    <w:p w14:paraId="4074BD22" w14:textId="77777777" w:rsidR="00A0062E" w:rsidRDefault="00A0062E" w:rsidP="00523C41">
      <w:pPr>
        <w:autoSpaceDE w:val="0"/>
        <w:autoSpaceDN w:val="0"/>
        <w:adjustRightInd w:val="0"/>
        <w:spacing w:after="0" w:line="276" w:lineRule="auto"/>
        <w:jc w:val="both"/>
        <w:rPr>
          <w:rFonts w:ascii="CMR10" w:hAnsi="CMR10" w:cs="CMR10"/>
          <w:sz w:val="20"/>
          <w:szCs w:val="20"/>
        </w:rPr>
      </w:pPr>
    </w:p>
    <w:p w14:paraId="59889F9C" w14:textId="77777777" w:rsidR="00A0062E" w:rsidRDefault="00A0062E" w:rsidP="00523C41">
      <w:pPr>
        <w:autoSpaceDE w:val="0"/>
        <w:autoSpaceDN w:val="0"/>
        <w:adjustRightInd w:val="0"/>
        <w:spacing w:after="0" w:line="276" w:lineRule="auto"/>
        <w:jc w:val="both"/>
        <w:rPr>
          <w:rFonts w:ascii="CMR10" w:hAnsi="CMR10" w:cs="CMR10"/>
          <w:sz w:val="20"/>
          <w:szCs w:val="20"/>
        </w:rPr>
      </w:pPr>
      <w:r>
        <w:rPr>
          <w:rFonts w:ascii="CMR10" w:hAnsi="CMR10" w:cs="CMR10"/>
          <w:sz w:val="20"/>
          <w:szCs w:val="20"/>
        </w:rPr>
        <w:t>Die folgende Liste zählt Kritikpunkte zu Ihrem Protokoll auf. Alle Kritikpunkte müssen in der korrigierten Version ausgeräumt sein.</w:t>
      </w:r>
    </w:p>
    <w:p w14:paraId="696010D7" w14:textId="7BAD6AD0" w:rsidR="00A0062E" w:rsidRDefault="00A0062E" w:rsidP="00523C41">
      <w:pPr>
        <w:autoSpaceDE w:val="0"/>
        <w:autoSpaceDN w:val="0"/>
        <w:adjustRightInd w:val="0"/>
        <w:spacing w:after="0" w:line="276" w:lineRule="auto"/>
        <w:jc w:val="both"/>
        <w:rPr>
          <w:rFonts w:ascii="CMR10" w:hAnsi="CMR10" w:cs="CMR10"/>
          <w:sz w:val="20"/>
          <w:szCs w:val="20"/>
        </w:rPr>
      </w:pPr>
      <w:r>
        <w:rPr>
          <w:rFonts w:ascii="CMR10" w:hAnsi="CMR10" w:cs="CMR10"/>
          <w:sz w:val="20"/>
          <w:szCs w:val="20"/>
        </w:rPr>
        <w:t xml:space="preserve">Folgende Anforderung . . .                                                                                          </w:t>
      </w:r>
      <w:r w:rsidR="00046072">
        <w:rPr>
          <w:rFonts w:ascii="CMR10" w:hAnsi="CMR10" w:cs="CMR10"/>
          <w:sz w:val="20"/>
          <w:szCs w:val="20"/>
        </w:rPr>
        <w:t xml:space="preserve">  </w:t>
      </w:r>
      <w:r>
        <w:rPr>
          <w:rFonts w:ascii="CMR10" w:hAnsi="CMR10" w:cs="CMR10"/>
          <w:sz w:val="20"/>
          <w:szCs w:val="20"/>
        </w:rPr>
        <w:t xml:space="preserve"> ist </w:t>
      </w:r>
      <w:r w:rsidRPr="00046072">
        <w:rPr>
          <w:rFonts w:ascii="CMR10" w:hAnsi="CMR10" w:cs="CMR10"/>
          <w:b/>
          <w:sz w:val="20"/>
          <w:szCs w:val="20"/>
          <w:u w:val="single"/>
        </w:rPr>
        <w:t>nicht</w:t>
      </w:r>
      <w:r>
        <w:rPr>
          <w:rFonts w:ascii="CMR10" w:hAnsi="CMR10" w:cs="CMR10"/>
          <w:sz w:val="20"/>
          <w:szCs w:val="20"/>
        </w:rPr>
        <w:t xml:space="preserve"> umgesetzt </w:t>
      </w:r>
    </w:p>
    <w:p w14:paraId="2572FAE6" w14:textId="77777777" w:rsidR="00A0062E" w:rsidRDefault="00A0062E" w:rsidP="00523C41">
      <w:pPr>
        <w:autoSpaceDE w:val="0"/>
        <w:autoSpaceDN w:val="0"/>
        <w:adjustRightInd w:val="0"/>
        <w:spacing w:after="0" w:line="276" w:lineRule="auto"/>
        <w:jc w:val="both"/>
        <w:rPr>
          <w:rFonts w:ascii="CMR10" w:hAnsi="CMR10" w:cs="CMR10"/>
          <w:sz w:val="20"/>
          <w:szCs w:val="20"/>
        </w:rPr>
      </w:pPr>
    </w:p>
    <w:tbl>
      <w:tblPr>
        <w:tblStyle w:val="Tabellenraster"/>
        <w:tblW w:w="0" w:type="auto"/>
        <w:tblLook w:val="04A0" w:firstRow="1" w:lastRow="0" w:firstColumn="1" w:lastColumn="0" w:noHBand="0" w:noVBand="1"/>
      </w:tblPr>
      <w:tblGrid>
        <w:gridCol w:w="8500"/>
        <w:gridCol w:w="562"/>
      </w:tblGrid>
      <w:tr w:rsidR="00E36113" w14:paraId="20ADDEF6" w14:textId="77777777" w:rsidTr="00E36113">
        <w:tc>
          <w:tcPr>
            <w:tcW w:w="8500" w:type="dxa"/>
          </w:tcPr>
          <w:p w14:paraId="6A67AA7F" w14:textId="775464D6"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 Elementares: Es gibt ein Deckblatt, ein Inhaltsverzeichnis, eine Einleitung mit dem Praktikumsziel/-thema, ein Fazit, eine Quellenangabe, ggf. eine Liste der verwendeten Geräte</w:t>
            </w:r>
            <w:r w:rsidR="00046072">
              <w:rPr>
                <w:rFonts w:ascii="CMR10" w:hAnsi="CMR10" w:cs="CMR10"/>
                <w:sz w:val="20"/>
                <w:szCs w:val="20"/>
              </w:rPr>
              <w:t>, etc.</w:t>
            </w:r>
          </w:p>
        </w:tc>
        <w:tc>
          <w:tcPr>
            <w:tcW w:w="562" w:type="dxa"/>
          </w:tcPr>
          <w:p w14:paraId="2604C95E"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6A0E4476" w14:textId="77777777" w:rsidTr="00E36113">
        <w:tc>
          <w:tcPr>
            <w:tcW w:w="8500" w:type="dxa"/>
          </w:tcPr>
          <w:p w14:paraId="40155695" w14:textId="485EAC22"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 Jede Abbildung muss eine fortlaufende Nummer und eine aussagekräftige, spezifische Abbildungsunterschrift haben. Aussagekräftig bedeutet, dass die Abbildung zusammen mit ihrer Unterschrift ohne zusätzliche Informationen verständlich ist.</w:t>
            </w:r>
          </w:p>
        </w:tc>
        <w:tc>
          <w:tcPr>
            <w:tcW w:w="562" w:type="dxa"/>
          </w:tcPr>
          <w:p w14:paraId="0DA7665A"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2C30E49B" w14:textId="77777777" w:rsidTr="00E36113">
        <w:tc>
          <w:tcPr>
            <w:tcW w:w="8500" w:type="dxa"/>
          </w:tcPr>
          <w:p w14:paraId="2AE7F1B7" w14:textId="09A3DFBF"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 xml:space="preserve">3. Auf jede Abb. muss im laufenden Text mittels ihrer Nummer verwiesen werden. Fast immer ist auch eine kurze Beschreibung desjenigen, was zu sehen ist, nötig. Eine Formulierung im Stil von: „In der </w:t>
            </w:r>
            <w:r>
              <w:rPr>
                <w:rFonts w:ascii="CMTI10" w:hAnsi="CMTI10" w:cs="CMTI10"/>
                <w:sz w:val="20"/>
                <w:szCs w:val="20"/>
              </w:rPr>
              <w:t xml:space="preserve">folgenden </w:t>
            </w:r>
            <w:r w:rsidR="0080796D">
              <w:rPr>
                <w:rFonts w:ascii="CMR10" w:hAnsi="CMR10" w:cs="CMR10"/>
                <w:sz w:val="20"/>
                <w:szCs w:val="20"/>
              </w:rPr>
              <w:t>Ab</w:t>
            </w:r>
            <w:r>
              <w:rPr>
                <w:rFonts w:ascii="CMR10" w:hAnsi="CMR10" w:cs="CMR10"/>
                <w:sz w:val="20"/>
                <w:szCs w:val="20"/>
              </w:rPr>
              <w:t>bildung ist . . . dargestellt.“ ist nicht akzeptabel.</w:t>
            </w:r>
          </w:p>
        </w:tc>
        <w:tc>
          <w:tcPr>
            <w:tcW w:w="562" w:type="dxa"/>
          </w:tcPr>
          <w:p w14:paraId="1F30BF8A"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6A633689" w14:textId="77777777" w:rsidTr="00E36113">
        <w:tc>
          <w:tcPr>
            <w:tcW w:w="8500" w:type="dxa"/>
          </w:tcPr>
          <w:p w14:paraId="6D2A143D" w14:textId="0C021EA7"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4. Qualität der Abbildungen: Eine Abb. muss ausreichend scharf/lesbar sein (am besten durch vektororientierte, skalierbare Formate wie z.B. eps erreichbar). Achsenbeschriftungen, Legenden etc. müssen korrekt, vollstä</w:t>
            </w:r>
            <w:r w:rsidR="00046072">
              <w:rPr>
                <w:rFonts w:ascii="CMR10" w:hAnsi="CMR10" w:cs="CMR10"/>
                <w:sz w:val="20"/>
                <w:szCs w:val="20"/>
              </w:rPr>
              <w:t>ndig und gut lesbar sein.</w:t>
            </w:r>
          </w:p>
        </w:tc>
        <w:tc>
          <w:tcPr>
            <w:tcW w:w="562" w:type="dxa"/>
          </w:tcPr>
          <w:p w14:paraId="02574E4B"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8F65A30" w14:textId="77777777" w:rsidTr="00E36113">
        <w:tc>
          <w:tcPr>
            <w:tcW w:w="8500" w:type="dxa"/>
          </w:tcPr>
          <w:p w14:paraId="74D11727" w14:textId="3F0FB45F"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 xml:space="preserve">5. Jede Tabelle muss eine fortlaufende Nummer und eine aussagekräftige Tabellenüber- oder Tabellenunterschrift </w:t>
            </w:r>
            <w:bookmarkStart w:id="0" w:name="_GoBack"/>
            <w:bookmarkEnd w:id="0"/>
            <w:r w:rsidR="00046072">
              <w:rPr>
                <w:rFonts w:ascii="CMR10" w:hAnsi="CMR10" w:cs="CMR10"/>
                <w:sz w:val="20"/>
                <w:szCs w:val="20"/>
              </w:rPr>
              <w:t>haben.</w:t>
            </w:r>
          </w:p>
        </w:tc>
        <w:tc>
          <w:tcPr>
            <w:tcW w:w="562" w:type="dxa"/>
          </w:tcPr>
          <w:p w14:paraId="14721E05"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D2312EE" w14:textId="77777777" w:rsidTr="00E36113">
        <w:tc>
          <w:tcPr>
            <w:tcW w:w="8500" w:type="dxa"/>
          </w:tcPr>
          <w:p w14:paraId="0A2DA0BA" w14:textId="460B35B6"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6. Auf jede Tabelle muss im laufenden Text mittels ihrer Nummer verwiesen werden. Sinngemäß gilt hier dasselbe wie für Abbildungen.</w:t>
            </w:r>
          </w:p>
        </w:tc>
        <w:tc>
          <w:tcPr>
            <w:tcW w:w="562" w:type="dxa"/>
          </w:tcPr>
          <w:p w14:paraId="137BBD8A"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88BE6F6" w14:textId="77777777" w:rsidTr="00E36113">
        <w:tc>
          <w:tcPr>
            <w:tcW w:w="8500" w:type="dxa"/>
          </w:tcPr>
          <w:p w14:paraId="668C1DC9" w14:textId="5050C7BB"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7. Dieselbe Information soll nicht redundant dargestellt werden, z.B. sowohl in einer Tabelle als auch in einer Abbildung. Eine minimal veränderte Information (z.B. Differenz zweier schon dargestellter Werte/Funktionen) rechtfertigt in der Regel keine neue</w:t>
            </w:r>
            <w:r w:rsidR="00046072">
              <w:rPr>
                <w:rFonts w:ascii="CMR10" w:hAnsi="CMR10" w:cs="CMR10"/>
                <w:sz w:val="20"/>
                <w:szCs w:val="20"/>
              </w:rPr>
              <w:t xml:space="preserve"> Abbildung.</w:t>
            </w:r>
          </w:p>
        </w:tc>
        <w:tc>
          <w:tcPr>
            <w:tcW w:w="562" w:type="dxa"/>
          </w:tcPr>
          <w:p w14:paraId="285FA6BA"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139D7504" w14:textId="77777777" w:rsidTr="00E36113">
        <w:tc>
          <w:tcPr>
            <w:tcW w:w="8500" w:type="dxa"/>
          </w:tcPr>
          <w:p w14:paraId="3DCAE6AC" w14:textId="77777777"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8. Fußnoten sind stilistisch zu vermeiden. Entweder den Fußnotentext in den laufenden Text integrieren</w:t>
            </w:r>
          </w:p>
          <w:p w14:paraId="094A8E9B" w14:textId="0F0EC3CD"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 xml:space="preserve">oder weglassen. Zitieren mittels eines konsistent eingehaltenen Zitierstils: z.B. </w:t>
            </w:r>
            <w:r>
              <w:rPr>
                <w:rFonts w:ascii="CMTI10" w:hAnsi="CMTI10" w:cs="CMTI10"/>
                <w:sz w:val="20"/>
                <w:szCs w:val="20"/>
              </w:rPr>
              <w:t>Name (Jahreszahl)</w:t>
            </w:r>
            <w:r>
              <w:rPr>
                <w:rFonts w:ascii="CMR10" w:hAnsi="CMR10" w:cs="CMR10"/>
                <w:sz w:val="20"/>
                <w:szCs w:val="20"/>
              </w:rPr>
              <w:t xml:space="preserve"> oder (Name, Jahreszahl). Die Literaturstellen werden am Ende aufgeführt.</w:t>
            </w:r>
          </w:p>
        </w:tc>
        <w:tc>
          <w:tcPr>
            <w:tcW w:w="562" w:type="dxa"/>
          </w:tcPr>
          <w:p w14:paraId="0C4D7C12"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4518622C" w14:textId="77777777" w:rsidTr="00E36113">
        <w:tc>
          <w:tcPr>
            <w:tcW w:w="8500" w:type="dxa"/>
          </w:tcPr>
          <w:p w14:paraId="5DE9B104" w14:textId="00BDDE88"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9. Die Überschrift eines Abschnitts muss aussagekräftig sein und zum nachfolgenden Text passen.</w:t>
            </w:r>
          </w:p>
        </w:tc>
        <w:tc>
          <w:tcPr>
            <w:tcW w:w="562" w:type="dxa"/>
          </w:tcPr>
          <w:p w14:paraId="6938DA37"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6F47D534" w14:textId="77777777" w:rsidTr="00E36113">
        <w:tc>
          <w:tcPr>
            <w:tcW w:w="8500" w:type="dxa"/>
          </w:tcPr>
          <w:p w14:paraId="51DBE43D" w14:textId="38DE72E7"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10. Absätze sind deutlich durch größeren Zeilenabstand oder Leerzeilen voneinander zu trennen. Sie dürfen nicht nur aus einem Satz bestehen und umfassen inhaltlich zusammenhängende Aussagen.</w:t>
            </w:r>
          </w:p>
        </w:tc>
        <w:tc>
          <w:tcPr>
            <w:tcW w:w="562" w:type="dxa"/>
          </w:tcPr>
          <w:p w14:paraId="7BCFD5BE"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66B8723" w14:textId="77777777" w:rsidTr="00E36113">
        <w:tc>
          <w:tcPr>
            <w:tcW w:w="8500" w:type="dxa"/>
          </w:tcPr>
          <w:p w14:paraId="21C170D4" w14:textId="23800148"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11. Aufeinanderfolgende Sätze müssen eine logische Reihenfolge aufweisen, um einen vernünftigen Textfluss zu ergeben. Ebenso wie bei einem Programm-Code, der in falscher Reihenfolge nicht funktioniert, ist es bei einem Text.</w:t>
            </w:r>
          </w:p>
        </w:tc>
        <w:tc>
          <w:tcPr>
            <w:tcW w:w="562" w:type="dxa"/>
          </w:tcPr>
          <w:p w14:paraId="15123442"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33D193C1" w14:textId="77777777" w:rsidTr="00E36113">
        <w:tc>
          <w:tcPr>
            <w:tcW w:w="8500" w:type="dxa"/>
          </w:tcPr>
          <w:p w14:paraId="3D823876" w14:textId="1C8F20FB"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12. Zu einer Kapitel-/Abschnittsüberschrift gehört immer ein nachfolgender Text. Ein weiterer neuer Unterabschnitt direkt nach einer neuer Kapitel/Abschnittüberschrift ist nicht zulässig.</w:t>
            </w:r>
          </w:p>
        </w:tc>
        <w:tc>
          <w:tcPr>
            <w:tcW w:w="562" w:type="dxa"/>
          </w:tcPr>
          <w:p w14:paraId="47BCDF5B"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34A4C284" w14:textId="77777777" w:rsidTr="00E36113">
        <w:tc>
          <w:tcPr>
            <w:tcW w:w="8500" w:type="dxa"/>
          </w:tcPr>
          <w:p w14:paraId="4FA0BF77" w14:textId="3180EC47"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13. Abkürzungen sind bei der ersten Verwendung zu erläutern und werden im folgenden Text einheitlich verwendet</w:t>
            </w:r>
          </w:p>
        </w:tc>
        <w:tc>
          <w:tcPr>
            <w:tcW w:w="562" w:type="dxa"/>
          </w:tcPr>
          <w:p w14:paraId="64DE064E"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84CCAC4" w14:textId="77777777" w:rsidTr="00E36113">
        <w:tc>
          <w:tcPr>
            <w:tcW w:w="8500" w:type="dxa"/>
          </w:tcPr>
          <w:p w14:paraId="267BE4C2" w14:textId="6601583B"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14. Die Verwendung von: „ich, wir, etc.“ ist zu vermeiden. Stattdessen neutrale Formulierung z.B. durch Verwendung von Passiv wählen.</w:t>
            </w:r>
          </w:p>
        </w:tc>
        <w:tc>
          <w:tcPr>
            <w:tcW w:w="562" w:type="dxa"/>
          </w:tcPr>
          <w:p w14:paraId="7A03A138"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4FA40A4" w14:textId="77777777" w:rsidTr="00E36113">
        <w:tc>
          <w:tcPr>
            <w:tcW w:w="8500" w:type="dxa"/>
          </w:tcPr>
          <w:p w14:paraId="7D109EED" w14:textId="4C333C23"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lastRenderedPageBreak/>
              <w:t xml:space="preserve">15. Die Darstellung der eigenen Tätigkeiten geschieht grundsätzlich im Präteritum. Für generell gültige Aussagen wird Präsens verwendet. Beispiel: Drei Versuchspersonen </w:t>
            </w:r>
            <w:r>
              <w:rPr>
                <w:rFonts w:ascii="CMTI10" w:hAnsi="CMTI10" w:cs="CMTI10"/>
                <w:sz w:val="20"/>
                <w:szCs w:val="20"/>
              </w:rPr>
              <w:t xml:space="preserve">nahmen </w:t>
            </w:r>
            <w:r>
              <w:rPr>
                <w:rFonts w:ascii="CMR10" w:hAnsi="CMR10" w:cs="CMR10"/>
                <w:sz w:val="20"/>
                <w:szCs w:val="20"/>
              </w:rPr>
              <w:t xml:space="preserve">an dem Experiment teil. Es </w:t>
            </w:r>
            <w:r>
              <w:rPr>
                <w:rFonts w:ascii="CMTI10" w:hAnsi="CMTI10" w:cs="CMTI10"/>
                <w:sz w:val="20"/>
                <w:szCs w:val="20"/>
              </w:rPr>
              <w:t xml:space="preserve">wurde </w:t>
            </w:r>
            <w:r>
              <w:rPr>
                <w:rFonts w:ascii="CMR10" w:hAnsi="CMR10" w:cs="CMR10"/>
                <w:sz w:val="20"/>
                <w:szCs w:val="20"/>
              </w:rPr>
              <w:t xml:space="preserve">jeweils die Sprachverständlichkeitsschwelle (SVS) bei konstantem Rauschpegel von 65 dB SPL ermittelt, wobei Sprache und Rauschen in der </w:t>
            </w:r>
            <w:r>
              <w:rPr>
                <w:rFonts w:ascii="CMMI10" w:hAnsi="CMMI10" w:cs="CMMI10"/>
                <w:sz w:val="20"/>
                <w:szCs w:val="20"/>
              </w:rPr>
              <w:t>S</w:t>
            </w:r>
            <w:r>
              <w:rPr>
                <w:rFonts w:ascii="CMR7" w:hAnsi="CMR7" w:cs="CMR7"/>
                <w:sz w:val="14"/>
                <w:szCs w:val="14"/>
              </w:rPr>
              <w:t>0</w:t>
            </w:r>
            <w:r>
              <w:rPr>
                <w:rFonts w:ascii="CMMI10" w:hAnsi="CMMI10" w:cs="CMMI10"/>
                <w:sz w:val="20"/>
                <w:szCs w:val="20"/>
              </w:rPr>
              <w:t>N</w:t>
            </w:r>
            <w:r>
              <w:rPr>
                <w:rFonts w:ascii="CMR7" w:hAnsi="CMR7" w:cs="CMR7"/>
                <w:sz w:val="14"/>
                <w:szCs w:val="14"/>
              </w:rPr>
              <w:t xml:space="preserve">90 </w:t>
            </w:r>
            <w:r>
              <w:rPr>
                <w:rFonts w:ascii="CMR10" w:hAnsi="CMR10" w:cs="CMR10"/>
                <w:sz w:val="20"/>
                <w:szCs w:val="20"/>
              </w:rPr>
              <w:t xml:space="preserve">Situation dargeboten </w:t>
            </w:r>
            <w:r>
              <w:rPr>
                <w:rFonts w:ascii="CMTI10" w:hAnsi="CMTI10" w:cs="CMTI10"/>
                <w:sz w:val="20"/>
                <w:szCs w:val="20"/>
              </w:rPr>
              <w:t>wurden</w:t>
            </w:r>
            <w:r>
              <w:rPr>
                <w:rFonts w:ascii="CMR10" w:hAnsi="CMR10" w:cs="CMR10"/>
                <w:sz w:val="20"/>
                <w:szCs w:val="20"/>
              </w:rPr>
              <w:t xml:space="preserve">. Carhart (1951) zeigte, dass die SVS bei Normalhörenden in dieser Situation niedriger </w:t>
            </w:r>
            <w:r>
              <w:rPr>
                <w:rFonts w:ascii="CMTI10" w:hAnsi="CMTI10" w:cs="CMTI10"/>
                <w:sz w:val="20"/>
                <w:szCs w:val="20"/>
              </w:rPr>
              <w:t xml:space="preserve">liegt </w:t>
            </w:r>
            <w:r>
              <w:rPr>
                <w:rFonts w:ascii="CMR10" w:hAnsi="CMR10" w:cs="CMR10"/>
                <w:sz w:val="20"/>
                <w:szCs w:val="20"/>
              </w:rPr>
              <w:t xml:space="preserve">als bei </w:t>
            </w:r>
            <w:r>
              <w:rPr>
                <w:rFonts w:ascii="CMMI10" w:hAnsi="CMMI10" w:cs="CMMI10"/>
                <w:sz w:val="20"/>
                <w:szCs w:val="20"/>
              </w:rPr>
              <w:t>S</w:t>
            </w:r>
            <w:r>
              <w:rPr>
                <w:rFonts w:ascii="CMR7" w:hAnsi="CMR7" w:cs="CMR7"/>
                <w:sz w:val="14"/>
                <w:szCs w:val="14"/>
              </w:rPr>
              <w:t>0</w:t>
            </w:r>
            <w:r>
              <w:rPr>
                <w:rFonts w:ascii="CMMI10" w:hAnsi="CMMI10" w:cs="CMMI10"/>
                <w:sz w:val="20"/>
                <w:szCs w:val="20"/>
              </w:rPr>
              <w:t>N</w:t>
            </w:r>
            <w:r>
              <w:rPr>
                <w:rFonts w:ascii="CMR7" w:hAnsi="CMR7" w:cs="CMR7"/>
                <w:sz w:val="14"/>
                <w:szCs w:val="14"/>
              </w:rPr>
              <w:t xml:space="preserve">0 </w:t>
            </w:r>
            <w:r>
              <w:rPr>
                <w:rFonts w:ascii="CMR10" w:hAnsi="CMR10" w:cs="CMR10"/>
                <w:sz w:val="20"/>
                <w:szCs w:val="20"/>
              </w:rPr>
              <w:t>Darbietung.</w:t>
            </w:r>
          </w:p>
        </w:tc>
        <w:tc>
          <w:tcPr>
            <w:tcW w:w="562" w:type="dxa"/>
          </w:tcPr>
          <w:p w14:paraId="01ADD613"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504230DC" w14:textId="77777777" w:rsidTr="00E36113">
        <w:tc>
          <w:tcPr>
            <w:tcW w:w="8500" w:type="dxa"/>
          </w:tcPr>
          <w:p w14:paraId="7096F889" w14:textId="709EBD28" w:rsidR="00E36113" w:rsidRPr="00E36113" w:rsidRDefault="00E36113" w:rsidP="00523C41">
            <w:pPr>
              <w:autoSpaceDE w:val="0"/>
              <w:autoSpaceDN w:val="0"/>
              <w:adjustRightInd w:val="0"/>
              <w:spacing w:line="276" w:lineRule="auto"/>
              <w:jc w:val="both"/>
              <w:rPr>
                <w:rFonts w:ascii="CMTT10" w:hAnsi="CMTT10" w:cs="CMTT10"/>
                <w:sz w:val="20"/>
                <w:szCs w:val="20"/>
              </w:rPr>
            </w:pPr>
            <w:r>
              <w:rPr>
                <w:rFonts w:ascii="CMR10" w:hAnsi="CMR10" w:cs="CMR10"/>
                <w:sz w:val="20"/>
                <w:szCs w:val="20"/>
              </w:rPr>
              <w:t xml:space="preserve">16. Größen (Variablennamen) werden stets kursiv geschrieben, Einheiten und spezielle Funktionen werden stets in aufrechtem Font geschrieben. Zwischen Zahlenwert und Einheit gibt es ein Leerzeichen, das beim Zeilenumbruch nicht getrennt werden darf. Beispiel: </w:t>
            </w:r>
            <w:r>
              <w:rPr>
                <w:rFonts w:ascii="CMMI10" w:hAnsi="CMMI10" w:cs="CMMI10"/>
                <w:sz w:val="20"/>
                <w:szCs w:val="20"/>
              </w:rPr>
              <w:t>T</w:t>
            </w:r>
            <w:r>
              <w:rPr>
                <w:rFonts w:ascii="CMR10" w:hAnsi="CMR10" w:cs="CMR10"/>
                <w:sz w:val="20"/>
                <w:szCs w:val="20"/>
              </w:rPr>
              <w:t xml:space="preserve">=125 ms, </w:t>
            </w:r>
            <w:r>
              <w:rPr>
                <w:rFonts w:ascii="CMMI10" w:hAnsi="CMMI10" w:cs="CMMI10"/>
                <w:sz w:val="20"/>
                <w:szCs w:val="20"/>
              </w:rPr>
              <w:t xml:space="preserve">y </w:t>
            </w:r>
            <w:r>
              <w:rPr>
                <w:rFonts w:ascii="CMR10" w:hAnsi="CMR10" w:cs="CMR10"/>
                <w:sz w:val="20"/>
                <w:szCs w:val="20"/>
              </w:rPr>
              <w:t>= sin(2</w:t>
            </w:r>
            <w:r>
              <w:rPr>
                <w:rFonts w:ascii="CMMI10" w:hAnsi="CMMI10" w:cs="CMMI10"/>
                <w:sz w:val="20"/>
                <w:szCs w:val="20"/>
              </w:rPr>
              <w:t>x</w:t>
            </w:r>
            <w:r>
              <w:rPr>
                <w:rFonts w:ascii="CMR10" w:hAnsi="CMR10" w:cs="CMR10"/>
                <w:sz w:val="20"/>
                <w:szCs w:val="20"/>
              </w:rPr>
              <w:t>), in L</w:t>
            </w:r>
            <w:r>
              <w:rPr>
                <w:rFonts w:ascii="CMR7" w:hAnsi="CMR7" w:cs="CMR7"/>
                <w:sz w:val="14"/>
                <w:szCs w:val="14"/>
              </w:rPr>
              <w:t>A</w:t>
            </w:r>
            <w:r>
              <w:rPr>
                <w:rFonts w:ascii="CMR10" w:hAnsi="CMR10" w:cs="CMR10"/>
                <w:sz w:val="20"/>
                <w:szCs w:val="20"/>
              </w:rPr>
              <w:t xml:space="preserve">TEX: </w:t>
            </w:r>
            <w:r>
              <w:rPr>
                <w:rFonts w:ascii="CMTT10" w:hAnsi="CMTT10" w:cs="CMTT10"/>
                <w:sz w:val="20"/>
                <w:szCs w:val="20"/>
              </w:rPr>
              <w:t>$T$=125~ms, $y=\sin(2x)$</w:t>
            </w:r>
          </w:p>
        </w:tc>
        <w:tc>
          <w:tcPr>
            <w:tcW w:w="562" w:type="dxa"/>
          </w:tcPr>
          <w:p w14:paraId="6AC986B8"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8AAE86B" w14:textId="77777777" w:rsidTr="00E36113">
        <w:tc>
          <w:tcPr>
            <w:tcW w:w="8500" w:type="dxa"/>
          </w:tcPr>
          <w:p w14:paraId="43A99B4C" w14:textId="598854EE"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17. Wird der Zahlenwert einer Größe angegeben, muss dieser immer zusammen in der richtigen Einheit angegeben werden.</w:t>
            </w:r>
          </w:p>
        </w:tc>
        <w:tc>
          <w:tcPr>
            <w:tcW w:w="562" w:type="dxa"/>
          </w:tcPr>
          <w:p w14:paraId="5CB78D0C"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559E42C" w14:textId="77777777" w:rsidTr="00E36113">
        <w:tc>
          <w:tcPr>
            <w:tcW w:w="8500" w:type="dxa"/>
          </w:tcPr>
          <w:p w14:paraId="108C7698" w14:textId="49AACABF"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18. Die Angabe von (Mess)ergebnissen erfolgt zusammen mit ihrer (begründeten) Unsicherheit und mit der daraus folgenden Anzahl signifikanter Stellen.</w:t>
            </w:r>
          </w:p>
        </w:tc>
        <w:tc>
          <w:tcPr>
            <w:tcW w:w="562" w:type="dxa"/>
          </w:tcPr>
          <w:p w14:paraId="77AE50AD"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B619CDD" w14:textId="77777777" w:rsidTr="00E36113">
        <w:tc>
          <w:tcPr>
            <w:tcW w:w="8500" w:type="dxa"/>
          </w:tcPr>
          <w:p w14:paraId="478950C7" w14:textId="6C34AA79"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 xml:space="preserve">19. Angaben in dB erfordern </w:t>
            </w:r>
            <w:r>
              <w:rPr>
                <w:rFonts w:ascii="CMTI10" w:hAnsi="CMTI10" w:cs="CMTI10"/>
                <w:sz w:val="20"/>
                <w:szCs w:val="20"/>
              </w:rPr>
              <w:t xml:space="preserve">immer </w:t>
            </w:r>
            <w:r>
              <w:rPr>
                <w:rFonts w:ascii="CMR10" w:hAnsi="CMR10" w:cs="CMR10"/>
                <w:sz w:val="20"/>
                <w:szCs w:val="20"/>
              </w:rPr>
              <w:t xml:space="preserve">auch eine Angabe des Referenzwertes. Beispiele: dB SPL, dB HL, dB SL, dB FS, „Sprachpegel liegt </w:t>
            </w:r>
            <w:r>
              <w:rPr>
                <w:rFonts w:ascii="CMMI10" w:hAnsi="CMMI10" w:cs="CMMI10"/>
                <w:sz w:val="20"/>
                <w:szCs w:val="20"/>
              </w:rPr>
              <w:t xml:space="preserve">x </w:t>
            </w:r>
            <w:r>
              <w:rPr>
                <w:rFonts w:ascii="CMR10" w:hAnsi="CMR10" w:cs="CMR10"/>
                <w:sz w:val="20"/>
                <w:szCs w:val="20"/>
              </w:rPr>
              <w:t xml:space="preserve">dB </w:t>
            </w:r>
            <w:r>
              <w:rPr>
                <w:rFonts w:ascii="CMTI10" w:hAnsi="CMTI10" w:cs="CMTI10"/>
                <w:sz w:val="20"/>
                <w:szCs w:val="20"/>
              </w:rPr>
              <w:t>unterhalb des Rauschpegels</w:t>
            </w:r>
            <w:r>
              <w:rPr>
                <w:rFonts w:ascii="CMR10" w:hAnsi="CMR10" w:cs="CMR10"/>
                <w:sz w:val="20"/>
                <w:szCs w:val="20"/>
              </w:rPr>
              <w:t>“, „</w:t>
            </w:r>
            <w:r>
              <w:rPr>
                <w:rFonts w:ascii="CMMI10" w:hAnsi="CMMI10" w:cs="CMMI10"/>
                <w:sz w:val="20"/>
                <w:szCs w:val="20"/>
              </w:rPr>
              <w:t xml:space="preserve">y </w:t>
            </w:r>
            <w:r>
              <w:rPr>
                <w:rFonts w:ascii="CMR10" w:hAnsi="CMR10" w:cs="CMR10"/>
                <w:sz w:val="20"/>
                <w:szCs w:val="20"/>
              </w:rPr>
              <w:t xml:space="preserve">dB </w:t>
            </w:r>
            <w:r>
              <w:rPr>
                <w:rFonts w:ascii="CMTI10" w:hAnsi="CMTI10" w:cs="CMTI10"/>
                <w:sz w:val="20"/>
                <w:szCs w:val="20"/>
              </w:rPr>
              <w:t>Verstärkung</w:t>
            </w:r>
            <w:r>
              <w:rPr>
                <w:rFonts w:ascii="CMR10" w:hAnsi="CMR10" w:cs="CMR10"/>
                <w:sz w:val="20"/>
                <w:szCs w:val="20"/>
              </w:rPr>
              <w:t>“.</w:t>
            </w:r>
          </w:p>
        </w:tc>
        <w:tc>
          <w:tcPr>
            <w:tcW w:w="562" w:type="dxa"/>
          </w:tcPr>
          <w:p w14:paraId="79ECC57F"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4B869DD8" w14:textId="77777777" w:rsidTr="00E36113">
        <w:tc>
          <w:tcPr>
            <w:tcW w:w="8500" w:type="dxa"/>
          </w:tcPr>
          <w:p w14:paraId="640C3DAB" w14:textId="45809060"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20. Der verwendete Versuchsaufbau muss nachvollziehbar und detailliert beschrieben werden. Dazu gehört meistens eine Skizze nebst passender Legende. Ebenso muss das experimentelle Vorgehen nachvollziehbar beschrieben werden.</w:t>
            </w:r>
          </w:p>
        </w:tc>
        <w:tc>
          <w:tcPr>
            <w:tcW w:w="562" w:type="dxa"/>
          </w:tcPr>
          <w:p w14:paraId="44A6BBFC"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CB5D763" w14:textId="77777777" w:rsidTr="00E36113">
        <w:tc>
          <w:tcPr>
            <w:tcW w:w="8500" w:type="dxa"/>
          </w:tcPr>
          <w:p w14:paraId="69CE96B8" w14:textId="717246DC"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21. Die eigenen (Mess)ergebnisse müssen klar dargestellt werden und anschließend diskutiert/eingeordnet/bewertet/gedeutet werden.</w:t>
            </w:r>
          </w:p>
        </w:tc>
        <w:tc>
          <w:tcPr>
            <w:tcW w:w="562" w:type="dxa"/>
          </w:tcPr>
          <w:p w14:paraId="3578F759"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7FF124E" w14:textId="77777777" w:rsidTr="00E36113">
        <w:tc>
          <w:tcPr>
            <w:tcW w:w="8500" w:type="dxa"/>
          </w:tcPr>
          <w:p w14:paraId="38E3D433" w14:textId="7C750ACC"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22. Die Diskussion der Ergebnisse soll nicht aus allgemeinen Floskeln bestehen, die unter jedem Protokoll stehen könnten.</w:t>
            </w:r>
          </w:p>
        </w:tc>
        <w:tc>
          <w:tcPr>
            <w:tcW w:w="562" w:type="dxa"/>
          </w:tcPr>
          <w:p w14:paraId="17508B5C"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733BF5F8" w14:textId="77777777" w:rsidTr="00E36113">
        <w:tc>
          <w:tcPr>
            <w:tcW w:w="8500" w:type="dxa"/>
          </w:tcPr>
          <w:p w14:paraId="643ED7E3" w14:textId="7046AFEB"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23. Wenn Bewertungen erfolgenden („ungenau“, „genau“, „gute Übereinstimmung mit der Theorie“, "wackelige Apparatur“, ...) dann mit quantitativer Begründung, z.B. mit Abschätzung der Unsicherheit.</w:t>
            </w:r>
          </w:p>
        </w:tc>
        <w:tc>
          <w:tcPr>
            <w:tcW w:w="562" w:type="dxa"/>
          </w:tcPr>
          <w:p w14:paraId="59ECF9E7"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F3B0548" w14:textId="77777777" w:rsidTr="00E36113">
        <w:tc>
          <w:tcPr>
            <w:tcW w:w="8500" w:type="dxa"/>
          </w:tcPr>
          <w:p w14:paraId="5D6DEC8B" w14:textId="2F831407"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24. Angabe von Zahlenwerten mit mehr als 3 führenden Nullen vermeiden, stattdessen technisch/wissenschaftliche Schreibweise verwenden. Beispiel: nicht 0,00001234 sondern 1,234</w:t>
            </w:r>
            <w:r>
              <w:rPr>
                <w:rFonts w:ascii="CMSY10" w:hAnsi="CMSY10" w:cs="CMSY10"/>
                <w:sz w:val="20"/>
                <w:szCs w:val="20"/>
              </w:rPr>
              <w:t>*</w:t>
            </w:r>
            <w:r>
              <w:rPr>
                <w:rFonts w:ascii="CMR10" w:hAnsi="CMR10" w:cs="CMR10"/>
                <w:sz w:val="20"/>
                <w:szCs w:val="20"/>
              </w:rPr>
              <w:t>10</w:t>
            </w:r>
            <w:r>
              <w:rPr>
                <w:rFonts w:ascii="CMR10" w:hAnsi="CMR10" w:cs="CMR10"/>
                <w:sz w:val="20"/>
                <w:szCs w:val="20"/>
                <w:vertAlign w:val="superscript"/>
              </w:rPr>
              <w:t>-5</w:t>
            </w:r>
            <w:r>
              <w:rPr>
                <w:rFonts w:ascii="CMR10" w:hAnsi="CMR10" w:cs="CMR10"/>
                <w:sz w:val="20"/>
                <w:szCs w:val="20"/>
              </w:rPr>
              <w:t>.</w:t>
            </w:r>
          </w:p>
        </w:tc>
        <w:tc>
          <w:tcPr>
            <w:tcW w:w="562" w:type="dxa"/>
          </w:tcPr>
          <w:p w14:paraId="5D187B32"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8A2423D" w14:textId="77777777" w:rsidTr="00E36113">
        <w:tc>
          <w:tcPr>
            <w:tcW w:w="8500" w:type="dxa"/>
          </w:tcPr>
          <w:p w14:paraId="66D1133F" w14:textId="2E135EC8"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 xml:space="preserve">25. Ausführlicher Quellcode gehört in den </w:t>
            </w:r>
            <w:r>
              <w:rPr>
                <w:rFonts w:ascii="CMTI10" w:hAnsi="CMTI10" w:cs="CMTI10"/>
                <w:sz w:val="20"/>
                <w:szCs w:val="20"/>
              </w:rPr>
              <w:t xml:space="preserve">Anhang </w:t>
            </w:r>
            <w:r>
              <w:rPr>
                <w:rFonts w:ascii="CMR10" w:hAnsi="CMR10" w:cs="CMR10"/>
                <w:sz w:val="20"/>
                <w:szCs w:val="20"/>
              </w:rPr>
              <w:t xml:space="preserve">des Protokolls, </w:t>
            </w:r>
            <w:r>
              <w:rPr>
                <w:rFonts w:ascii="CMTI10" w:hAnsi="CMTI10" w:cs="CMTI10"/>
                <w:sz w:val="20"/>
                <w:szCs w:val="20"/>
              </w:rPr>
              <w:t>soweit gefordert</w:t>
            </w:r>
            <w:r>
              <w:rPr>
                <w:rFonts w:ascii="CMR10" w:hAnsi="CMR10" w:cs="CMR10"/>
                <w:sz w:val="20"/>
                <w:szCs w:val="20"/>
              </w:rPr>
              <w:t>. Ausreichende Dokumentation des Codes ist unerlässlich, ggf. Copyrights beachten. Nur wenn Algorithmen/Code explizit das Thema des Protokolls ist, darf er ausnahmsweise im laufenden Text eingefügt und beschrieben werden.</w:t>
            </w:r>
          </w:p>
        </w:tc>
        <w:tc>
          <w:tcPr>
            <w:tcW w:w="562" w:type="dxa"/>
          </w:tcPr>
          <w:p w14:paraId="7DDC547D" w14:textId="77777777" w:rsidR="00E36113" w:rsidRDefault="00E36113" w:rsidP="00523C41">
            <w:pPr>
              <w:autoSpaceDE w:val="0"/>
              <w:autoSpaceDN w:val="0"/>
              <w:adjustRightInd w:val="0"/>
              <w:spacing w:line="276" w:lineRule="auto"/>
              <w:jc w:val="both"/>
              <w:rPr>
                <w:rFonts w:ascii="CMR10" w:hAnsi="CMR10" w:cs="CMR10"/>
                <w:sz w:val="20"/>
                <w:szCs w:val="20"/>
              </w:rPr>
            </w:pPr>
          </w:p>
        </w:tc>
      </w:tr>
      <w:tr w:rsidR="00E36113" w14:paraId="0BAEC3BF" w14:textId="77777777" w:rsidTr="00E36113">
        <w:tc>
          <w:tcPr>
            <w:tcW w:w="8500" w:type="dxa"/>
          </w:tcPr>
          <w:p w14:paraId="500B7B1B" w14:textId="0BB2198D" w:rsidR="00E36113" w:rsidRDefault="00E36113" w:rsidP="00523C41">
            <w:pPr>
              <w:autoSpaceDE w:val="0"/>
              <w:autoSpaceDN w:val="0"/>
              <w:adjustRightInd w:val="0"/>
              <w:spacing w:line="276" w:lineRule="auto"/>
              <w:jc w:val="both"/>
              <w:rPr>
                <w:rFonts w:ascii="CMR10" w:hAnsi="CMR10" w:cs="CMR10"/>
                <w:sz w:val="20"/>
                <w:szCs w:val="20"/>
              </w:rPr>
            </w:pPr>
            <w:r>
              <w:rPr>
                <w:rFonts w:ascii="CMR10" w:hAnsi="CMR10" w:cs="CMR10"/>
                <w:sz w:val="20"/>
                <w:szCs w:val="20"/>
              </w:rPr>
              <w:t>26. Jeder Source Code beinhaltet mindestens einen Hinweis auf Autorenschaft, Version, Datum und</w:t>
            </w:r>
            <w:r w:rsidR="0080796D">
              <w:rPr>
                <w:rFonts w:ascii="CMR10" w:hAnsi="CMR10" w:cs="CMR10"/>
                <w:sz w:val="20"/>
                <w:szCs w:val="20"/>
              </w:rPr>
              <w:t xml:space="preserve"> </w:t>
            </w:r>
            <w:r>
              <w:rPr>
                <w:rFonts w:ascii="CMR10" w:hAnsi="CMR10" w:cs="CMR10"/>
                <w:sz w:val="20"/>
                <w:szCs w:val="20"/>
              </w:rPr>
              <w:t>Kommentare zur Funktion/Verwendungsmöglichk</w:t>
            </w:r>
            <w:r w:rsidR="00046072">
              <w:rPr>
                <w:rFonts w:ascii="CMR10" w:hAnsi="CMR10" w:cs="CMR10"/>
                <w:sz w:val="20"/>
                <w:szCs w:val="20"/>
              </w:rPr>
              <w:t>eit des Codes.</w:t>
            </w:r>
          </w:p>
        </w:tc>
        <w:tc>
          <w:tcPr>
            <w:tcW w:w="562" w:type="dxa"/>
          </w:tcPr>
          <w:p w14:paraId="637E9F36" w14:textId="77777777" w:rsidR="00E36113" w:rsidRDefault="00E36113" w:rsidP="00523C41">
            <w:pPr>
              <w:autoSpaceDE w:val="0"/>
              <w:autoSpaceDN w:val="0"/>
              <w:adjustRightInd w:val="0"/>
              <w:spacing w:line="276" w:lineRule="auto"/>
              <w:jc w:val="both"/>
              <w:rPr>
                <w:rFonts w:ascii="CMR10" w:hAnsi="CMR10" w:cs="CMR10"/>
                <w:sz w:val="20"/>
                <w:szCs w:val="20"/>
              </w:rPr>
            </w:pPr>
          </w:p>
        </w:tc>
      </w:tr>
    </w:tbl>
    <w:p w14:paraId="2D65A730" w14:textId="77777777" w:rsidR="00E36113" w:rsidRDefault="00E36113" w:rsidP="00523C41">
      <w:pPr>
        <w:autoSpaceDE w:val="0"/>
        <w:autoSpaceDN w:val="0"/>
        <w:adjustRightInd w:val="0"/>
        <w:spacing w:after="0" w:line="276" w:lineRule="auto"/>
        <w:jc w:val="both"/>
        <w:rPr>
          <w:rFonts w:ascii="CMR10" w:hAnsi="CMR10" w:cs="CMR10"/>
          <w:sz w:val="20"/>
          <w:szCs w:val="20"/>
        </w:rPr>
      </w:pPr>
    </w:p>
    <w:p w14:paraId="2FCBA26C" w14:textId="77777777" w:rsidR="00E36113" w:rsidRDefault="00E36113" w:rsidP="00523C41">
      <w:pPr>
        <w:autoSpaceDE w:val="0"/>
        <w:autoSpaceDN w:val="0"/>
        <w:adjustRightInd w:val="0"/>
        <w:spacing w:after="0" w:line="276" w:lineRule="auto"/>
        <w:jc w:val="both"/>
        <w:rPr>
          <w:rFonts w:ascii="CMR10" w:hAnsi="CMR10" w:cs="CMR10"/>
          <w:sz w:val="20"/>
          <w:szCs w:val="20"/>
        </w:rPr>
      </w:pPr>
    </w:p>
    <w:p w14:paraId="0CE0365E" w14:textId="21666DE7" w:rsidR="00A0062E" w:rsidRDefault="00A0062E" w:rsidP="00523C41">
      <w:pPr>
        <w:autoSpaceDE w:val="0"/>
        <w:autoSpaceDN w:val="0"/>
        <w:adjustRightInd w:val="0"/>
        <w:spacing w:after="0" w:line="276" w:lineRule="auto"/>
        <w:jc w:val="both"/>
        <w:rPr>
          <w:rFonts w:ascii="MSAM10" w:hAnsi="MSAM10" w:cs="MSAM10"/>
          <w:sz w:val="20"/>
          <w:szCs w:val="20"/>
        </w:rPr>
      </w:pPr>
    </w:p>
    <w:p w14:paraId="5504373C" w14:textId="7E2DCB8F" w:rsidR="00A0062E" w:rsidRDefault="00A0062E" w:rsidP="00523C41">
      <w:pPr>
        <w:autoSpaceDE w:val="0"/>
        <w:autoSpaceDN w:val="0"/>
        <w:adjustRightInd w:val="0"/>
        <w:spacing w:after="0" w:line="276" w:lineRule="auto"/>
        <w:jc w:val="both"/>
        <w:rPr>
          <w:rFonts w:ascii="MSAM10" w:hAnsi="MSAM10" w:cs="MSAM10"/>
          <w:sz w:val="20"/>
          <w:szCs w:val="20"/>
        </w:rPr>
      </w:pPr>
    </w:p>
    <w:p w14:paraId="06700373" w14:textId="5A2AC3C2" w:rsidR="00A0062E" w:rsidRDefault="00A0062E" w:rsidP="00523C41">
      <w:pPr>
        <w:autoSpaceDE w:val="0"/>
        <w:autoSpaceDN w:val="0"/>
        <w:adjustRightInd w:val="0"/>
        <w:spacing w:after="0" w:line="276" w:lineRule="auto"/>
        <w:jc w:val="both"/>
        <w:rPr>
          <w:rFonts w:ascii="MSAM10" w:hAnsi="MSAM10" w:cs="MSAM10"/>
          <w:sz w:val="20"/>
          <w:szCs w:val="20"/>
        </w:rPr>
      </w:pPr>
    </w:p>
    <w:p w14:paraId="68D8B1C0" w14:textId="51EEB70C" w:rsidR="00A0062E" w:rsidRDefault="00A0062E" w:rsidP="00523C41">
      <w:pPr>
        <w:autoSpaceDE w:val="0"/>
        <w:autoSpaceDN w:val="0"/>
        <w:adjustRightInd w:val="0"/>
        <w:spacing w:after="0" w:line="276" w:lineRule="auto"/>
        <w:jc w:val="both"/>
        <w:rPr>
          <w:rFonts w:ascii="MSAM10" w:hAnsi="MSAM10" w:cs="MSAM10"/>
          <w:sz w:val="20"/>
          <w:szCs w:val="20"/>
        </w:rPr>
      </w:pPr>
    </w:p>
    <w:p w14:paraId="3120153B" w14:textId="7A6F3CCE" w:rsidR="00A0062E" w:rsidRDefault="00A0062E" w:rsidP="00523C41">
      <w:pPr>
        <w:autoSpaceDE w:val="0"/>
        <w:autoSpaceDN w:val="0"/>
        <w:adjustRightInd w:val="0"/>
        <w:spacing w:after="0" w:line="276" w:lineRule="auto"/>
        <w:jc w:val="both"/>
        <w:rPr>
          <w:rFonts w:ascii="MSAM10" w:hAnsi="MSAM10" w:cs="MSAM10"/>
          <w:sz w:val="20"/>
          <w:szCs w:val="20"/>
        </w:rPr>
      </w:pPr>
    </w:p>
    <w:p w14:paraId="56DA29EE" w14:textId="3B90D96B" w:rsidR="00A0062E" w:rsidRDefault="00A0062E" w:rsidP="00523C41">
      <w:pPr>
        <w:autoSpaceDE w:val="0"/>
        <w:autoSpaceDN w:val="0"/>
        <w:adjustRightInd w:val="0"/>
        <w:spacing w:after="0" w:line="276" w:lineRule="auto"/>
        <w:jc w:val="both"/>
        <w:rPr>
          <w:rFonts w:ascii="MSAM10" w:hAnsi="MSAM10" w:cs="MSAM10"/>
          <w:sz w:val="20"/>
          <w:szCs w:val="20"/>
        </w:rPr>
      </w:pPr>
    </w:p>
    <w:p w14:paraId="36A000FF" w14:textId="048035A2" w:rsidR="00A0062E" w:rsidRDefault="00A0062E" w:rsidP="00523C41">
      <w:pPr>
        <w:autoSpaceDE w:val="0"/>
        <w:autoSpaceDN w:val="0"/>
        <w:adjustRightInd w:val="0"/>
        <w:spacing w:after="0" w:line="276" w:lineRule="auto"/>
        <w:jc w:val="both"/>
        <w:rPr>
          <w:rFonts w:ascii="MSAM10" w:hAnsi="MSAM10" w:cs="MSAM10"/>
          <w:sz w:val="20"/>
          <w:szCs w:val="20"/>
        </w:rPr>
      </w:pPr>
    </w:p>
    <w:p w14:paraId="341541E1" w14:textId="1CB0F3C2" w:rsidR="00A0062E" w:rsidRDefault="00A0062E" w:rsidP="00523C41">
      <w:pPr>
        <w:autoSpaceDE w:val="0"/>
        <w:autoSpaceDN w:val="0"/>
        <w:adjustRightInd w:val="0"/>
        <w:spacing w:after="0" w:line="276" w:lineRule="auto"/>
        <w:jc w:val="both"/>
        <w:rPr>
          <w:rFonts w:ascii="MSAM10" w:hAnsi="MSAM10" w:cs="MSAM10"/>
          <w:sz w:val="20"/>
          <w:szCs w:val="20"/>
        </w:rPr>
      </w:pPr>
    </w:p>
    <w:sectPr w:rsidR="00A0062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4B5B" w14:textId="77777777" w:rsidR="00BB20CB" w:rsidRDefault="00BB20CB" w:rsidP="00402391">
      <w:pPr>
        <w:spacing w:after="0" w:line="240" w:lineRule="auto"/>
      </w:pPr>
      <w:r>
        <w:separator/>
      </w:r>
    </w:p>
  </w:endnote>
  <w:endnote w:type="continuationSeparator" w:id="0">
    <w:p w14:paraId="1A5083DE" w14:textId="77777777" w:rsidR="00BB20CB" w:rsidRDefault="00BB20CB" w:rsidP="0040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R7">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 w:name="MSAM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230055"/>
      <w:docPartObj>
        <w:docPartGallery w:val="Page Numbers (Bottom of Page)"/>
        <w:docPartUnique/>
      </w:docPartObj>
    </w:sdtPr>
    <w:sdtEndPr/>
    <w:sdtContent>
      <w:sdt>
        <w:sdtPr>
          <w:id w:val="-1769616900"/>
          <w:docPartObj>
            <w:docPartGallery w:val="Page Numbers (Top of Page)"/>
            <w:docPartUnique/>
          </w:docPartObj>
        </w:sdtPr>
        <w:sdtEndPr/>
        <w:sdtContent>
          <w:p w14:paraId="2B7AA7D6" w14:textId="6CC3DCC2" w:rsidR="00402391" w:rsidRDefault="0040239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21F59">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21F59">
              <w:rPr>
                <w:b/>
                <w:bCs/>
                <w:noProof/>
              </w:rPr>
              <w:t>2</w:t>
            </w:r>
            <w:r>
              <w:rPr>
                <w:b/>
                <w:bCs/>
                <w:sz w:val="24"/>
                <w:szCs w:val="24"/>
              </w:rPr>
              <w:fldChar w:fldCharType="end"/>
            </w:r>
          </w:p>
        </w:sdtContent>
      </w:sdt>
    </w:sdtContent>
  </w:sdt>
  <w:p w14:paraId="63495288" w14:textId="77777777" w:rsidR="00402391" w:rsidRDefault="00402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A1B8" w14:textId="77777777" w:rsidR="00BB20CB" w:rsidRDefault="00BB20CB" w:rsidP="00402391">
      <w:pPr>
        <w:spacing w:after="0" w:line="240" w:lineRule="auto"/>
      </w:pPr>
      <w:r>
        <w:separator/>
      </w:r>
    </w:p>
  </w:footnote>
  <w:footnote w:type="continuationSeparator" w:id="0">
    <w:p w14:paraId="411E5728" w14:textId="77777777" w:rsidR="00BB20CB" w:rsidRDefault="00BB20CB" w:rsidP="00402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9F63" w14:textId="7E18CEC3" w:rsidR="00402391" w:rsidRPr="00E36113" w:rsidRDefault="00E36113" w:rsidP="00402391">
    <w:pPr>
      <w:pStyle w:val="Heading"/>
      <w:jc w:val="right"/>
    </w:pPr>
    <w:r>
      <w:rPr>
        <w:rFonts w:ascii="Times New Roman" w:hAnsi="Times New Roman"/>
        <w:noProof/>
        <w:sz w:val="20"/>
        <w:szCs w:val="20"/>
        <w:lang w:eastAsia="de-DE" w:bidi="ar-SA"/>
      </w:rPr>
      <w:drawing>
        <wp:inline distT="0" distB="0" distL="0" distR="0" wp14:anchorId="543D51A9" wp14:editId="4A459766">
          <wp:extent cx="1752600" cy="8226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M-Logo-2015-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059" cy="826193"/>
                  </a:xfrm>
                  <a:prstGeom prst="rect">
                    <a:avLst/>
                  </a:prstGeom>
                </pic:spPr>
              </pic:pic>
            </a:graphicData>
          </a:graphic>
        </wp:inline>
      </w:drawing>
    </w:r>
    <w:r w:rsidR="00402391" w:rsidRPr="00E36113">
      <w:rPr>
        <w:rFonts w:ascii="Times New Roman" w:hAnsi="Times New Roman"/>
        <w:sz w:val="20"/>
        <w:szCs w:val="20"/>
      </w:rPr>
      <w:tab/>
      <w:t xml:space="preserve"> </w:t>
    </w:r>
    <w:r w:rsidR="00402391" w:rsidRPr="00E36113">
      <w:rPr>
        <w:rFonts w:ascii="Times New Roman" w:hAnsi="Times New Roman"/>
        <w:sz w:val="20"/>
        <w:szCs w:val="20"/>
      </w:rPr>
      <w:tab/>
      <w:t xml:space="preserve"> 10</w:t>
    </w:r>
    <w:r>
      <w:rPr>
        <w:rFonts w:ascii="Times New Roman" w:hAnsi="Times New Roman"/>
        <w:sz w:val="20"/>
        <w:szCs w:val="20"/>
      </w:rPr>
      <w:t>.</w:t>
    </w:r>
    <w:r w:rsidR="00402391" w:rsidRPr="00E36113">
      <w:rPr>
        <w:rFonts w:ascii="Times New Roman" w:hAnsi="Times New Roman"/>
        <w:sz w:val="20"/>
        <w:szCs w:val="20"/>
      </w:rPr>
      <w:t>11.16</w:t>
    </w:r>
  </w:p>
  <w:p w14:paraId="07FF1E26" w14:textId="60AAD7C2" w:rsidR="00402391" w:rsidRDefault="00402391">
    <w:pPr>
      <w:pStyle w:val="Kopfzeile"/>
    </w:pPr>
  </w:p>
  <w:p w14:paraId="3AC5DE42" w14:textId="77777777" w:rsidR="00402391" w:rsidRDefault="004023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2E"/>
    <w:rsid w:val="00046072"/>
    <w:rsid w:val="00151206"/>
    <w:rsid w:val="00402391"/>
    <w:rsid w:val="00523C41"/>
    <w:rsid w:val="00745026"/>
    <w:rsid w:val="00752008"/>
    <w:rsid w:val="0080796D"/>
    <w:rsid w:val="00821F59"/>
    <w:rsid w:val="00A0062E"/>
    <w:rsid w:val="00BB20CB"/>
    <w:rsid w:val="00BF561E"/>
    <w:rsid w:val="00CA0EEB"/>
    <w:rsid w:val="00E13753"/>
    <w:rsid w:val="00E36113"/>
    <w:rsid w:val="00EA5847"/>
    <w:rsid w:val="00F57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41BCC"/>
  <w15:chartTrackingRefBased/>
  <w15:docId w15:val="{9E028F62-BDE2-4D57-9C7D-ACA0A934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0062E"/>
    <w:rPr>
      <w:sz w:val="16"/>
      <w:szCs w:val="16"/>
    </w:rPr>
  </w:style>
  <w:style w:type="paragraph" w:styleId="Kommentartext">
    <w:name w:val="annotation text"/>
    <w:basedOn w:val="Standard"/>
    <w:link w:val="KommentartextZchn"/>
    <w:uiPriority w:val="99"/>
    <w:semiHidden/>
    <w:unhideWhenUsed/>
    <w:rsid w:val="00A006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62E"/>
    <w:rPr>
      <w:sz w:val="20"/>
      <w:szCs w:val="20"/>
    </w:rPr>
  </w:style>
  <w:style w:type="paragraph" w:styleId="Kommentarthema">
    <w:name w:val="annotation subject"/>
    <w:basedOn w:val="Kommentartext"/>
    <w:next w:val="Kommentartext"/>
    <w:link w:val="KommentarthemaZchn"/>
    <w:uiPriority w:val="99"/>
    <w:semiHidden/>
    <w:unhideWhenUsed/>
    <w:rsid w:val="00A0062E"/>
    <w:rPr>
      <w:b/>
      <w:bCs/>
    </w:rPr>
  </w:style>
  <w:style w:type="character" w:customStyle="1" w:styleId="KommentarthemaZchn">
    <w:name w:val="Kommentarthema Zchn"/>
    <w:basedOn w:val="KommentartextZchn"/>
    <w:link w:val="Kommentarthema"/>
    <w:uiPriority w:val="99"/>
    <w:semiHidden/>
    <w:rsid w:val="00A0062E"/>
    <w:rPr>
      <w:b/>
      <w:bCs/>
      <w:sz w:val="20"/>
      <w:szCs w:val="20"/>
    </w:rPr>
  </w:style>
  <w:style w:type="paragraph" w:styleId="Sprechblasentext">
    <w:name w:val="Balloon Text"/>
    <w:basedOn w:val="Standard"/>
    <w:link w:val="SprechblasentextZchn"/>
    <w:uiPriority w:val="99"/>
    <w:semiHidden/>
    <w:unhideWhenUsed/>
    <w:rsid w:val="00A006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62E"/>
    <w:rPr>
      <w:rFonts w:ascii="Segoe UI" w:hAnsi="Segoe UI" w:cs="Segoe UI"/>
      <w:sz w:val="18"/>
      <w:szCs w:val="18"/>
    </w:rPr>
  </w:style>
  <w:style w:type="paragraph" w:styleId="Kopfzeile">
    <w:name w:val="header"/>
    <w:basedOn w:val="Standard"/>
    <w:link w:val="KopfzeileZchn"/>
    <w:uiPriority w:val="99"/>
    <w:unhideWhenUsed/>
    <w:rsid w:val="004023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391"/>
  </w:style>
  <w:style w:type="paragraph" w:styleId="Fuzeile">
    <w:name w:val="footer"/>
    <w:basedOn w:val="Standard"/>
    <w:link w:val="FuzeileZchn"/>
    <w:uiPriority w:val="99"/>
    <w:unhideWhenUsed/>
    <w:rsid w:val="004023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391"/>
  </w:style>
  <w:style w:type="paragraph" w:customStyle="1" w:styleId="Heading">
    <w:name w:val="Heading"/>
    <w:basedOn w:val="Standard"/>
    <w:next w:val="Standard"/>
    <w:rsid w:val="00402391"/>
    <w:pPr>
      <w:keepNext/>
      <w:widowControl w:val="0"/>
      <w:suppressAutoHyphens/>
      <w:autoSpaceDN w:val="0"/>
      <w:spacing w:before="240" w:after="120" w:line="240" w:lineRule="auto"/>
      <w:textAlignment w:val="baseline"/>
    </w:pPr>
    <w:rPr>
      <w:rFonts w:ascii="Arial" w:eastAsia="Arial" w:hAnsi="Arial" w:cs="Arial"/>
      <w:kern w:val="3"/>
      <w:sz w:val="28"/>
      <w:szCs w:val="28"/>
      <w:lang w:bidi="en-US"/>
    </w:rPr>
  </w:style>
  <w:style w:type="table" w:styleId="Tabellenraster">
    <w:name w:val="Table Grid"/>
    <w:basedOn w:val="NormaleTabelle"/>
    <w:uiPriority w:val="39"/>
    <w:rsid w:val="00E36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Jade Hochschule</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Winkler</dc:creator>
  <cp:keywords/>
  <dc:description/>
  <cp:lastModifiedBy>Winkler, Alexandra</cp:lastModifiedBy>
  <cp:revision>12</cp:revision>
  <dcterms:created xsi:type="dcterms:W3CDTF">2016-11-10T19:53:00Z</dcterms:created>
  <dcterms:modified xsi:type="dcterms:W3CDTF">2016-11-24T07:59:00Z</dcterms:modified>
</cp:coreProperties>
</file>